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302" w:type="dxa"/>
        <w:tblInd w:w="-1139" w:type="dxa"/>
        <w:tblLook w:val="04A0" w:firstRow="1" w:lastRow="0" w:firstColumn="1" w:lastColumn="0" w:noHBand="0" w:noVBand="1"/>
      </w:tblPr>
      <w:tblGrid>
        <w:gridCol w:w="8080"/>
        <w:gridCol w:w="5670"/>
        <w:gridCol w:w="962"/>
        <w:gridCol w:w="841"/>
        <w:gridCol w:w="749"/>
      </w:tblGrid>
      <w:tr w:rsidR="00241497" w:rsidRPr="00DF4B4E" w:rsidTr="00241497">
        <w:tc>
          <w:tcPr>
            <w:tcW w:w="8080" w:type="dxa"/>
            <w:vAlign w:val="center"/>
          </w:tcPr>
          <w:p w:rsidR="00241497" w:rsidRPr="00DF4B4E" w:rsidRDefault="00241497" w:rsidP="00FB3DF8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670" w:type="dxa"/>
            <w:vAlign w:val="center"/>
          </w:tcPr>
          <w:p w:rsidR="00241497" w:rsidRPr="00DF4B4E" w:rsidRDefault="00241497" w:rsidP="00FB3DF8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>Teacher</w:t>
            </w:r>
          </w:p>
        </w:tc>
        <w:tc>
          <w:tcPr>
            <w:tcW w:w="962" w:type="dxa"/>
          </w:tcPr>
          <w:p w:rsidR="00241497" w:rsidRPr="00DF4B4E" w:rsidRDefault="00241497" w:rsidP="00FB3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</w:p>
        </w:tc>
        <w:tc>
          <w:tcPr>
            <w:tcW w:w="841" w:type="dxa"/>
            <w:vAlign w:val="center"/>
          </w:tcPr>
          <w:p w:rsidR="00241497" w:rsidRPr="00DF4B4E" w:rsidRDefault="00241497" w:rsidP="00FB3DF8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749" w:type="dxa"/>
            <w:vAlign w:val="center"/>
          </w:tcPr>
          <w:p w:rsidR="00241497" w:rsidRPr="00DF4B4E" w:rsidRDefault="00241497" w:rsidP="00FB3DF8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>ECTS</w:t>
            </w:r>
          </w:p>
        </w:tc>
      </w:tr>
      <w:tr w:rsidR="003B301C" w:rsidRPr="003B301C" w:rsidTr="00913F80">
        <w:tc>
          <w:tcPr>
            <w:tcW w:w="16302" w:type="dxa"/>
            <w:gridSpan w:val="5"/>
            <w:vAlign w:val="center"/>
          </w:tcPr>
          <w:p w:rsidR="003B301C" w:rsidRPr="00DF4B4E" w:rsidRDefault="003B301C" w:rsidP="003B301C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 xml:space="preserve">Elective classes offered by </w:t>
            </w:r>
            <w:r w:rsidRPr="00DF4B4E">
              <w:rPr>
                <w:b/>
                <w:sz w:val="20"/>
                <w:szCs w:val="20"/>
                <w:lang w:val="en-US"/>
              </w:rPr>
              <w:t>the Institute of European Studies / Center for European Studies</w:t>
            </w:r>
            <w:r>
              <w:rPr>
                <w:sz w:val="20"/>
                <w:szCs w:val="20"/>
                <w:lang w:val="en-US"/>
              </w:rPr>
              <w:t xml:space="preserve"> in the Summer Semester 2019/2020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European Integration. History and Theory</w:t>
            </w:r>
          </w:p>
        </w:tc>
        <w:tc>
          <w:tcPr>
            <w:tcW w:w="5670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Marcin </w:t>
            </w:r>
            <w:proofErr w:type="spellStart"/>
            <w:r>
              <w:rPr>
                <w:sz w:val="20"/>
                <w:szCs w:val="20"/>
                <w:lang w:val="de-DE"/>
              </w:rPr>
              <w:t>Zubek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Maciej </w:t>
            </w:r>
            <w:proofErr w:type="spellStart"/>
            <w:r>
              <w:rPr>
                <w:sz w:val="20"/>
                <w:szCs w:val="20"/>
                <w:lang w:val="de-DE"/>
              </w:rPr>
              <w:t>Stępka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Meaning and Value of Democracy from a Philosophical Perspective</w:t>
            </w:r>
          </w:p>
        </w:tc>
        <w:tc>
          <w:tcPr>
            <w:tcW w:w="5670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Karol </w:t>
            </w:r>
            <w:proofErr w:type="spellStart"/>
            <w:r>
              <w:rPr>
                <w:sz w:val="20"/>
                <w:szCs w:val="20"/>
                <w:lang w:val="en-US"/>
              </w:rPr>
              <w:t>Chrobak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Man and the Transformation of Our Worldviews from the Greek to (Post)Modernity</w:t>
            </w:r>
          </w:p>
        </w:tc>
        <w:tc>
          <w:tcPr>
            <w:tcW w:w="5670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Stanisław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Łojek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European Models of Cultural Policies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Bożena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Gierat-Bieroń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Economy of Central Europe: from Transition to EU Membership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Joanna </w:t>
            </w:r>
            <w:proofErr w:type="spellStart"/>
            <w:r>
              <w:rPr>
                <w:sz w:val="20"/>
                <w:szCs w:val="20"/>
                <w:lang w:val="en-US"/>
              </w:rPr>
              <w:t>Orzechowska-Wacławska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Europeanisation and Transformation of Collective Identities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Zdzisław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Mach</w:t>
            </w:r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EU Integration and Politics in the Balkans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Natasza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Styczyńska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Political Challenges to the European Integration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</w:rPr>
            </w:pPr>
            <w:r w:rsidRPr="0011241A">
              <w:rPr>
                <w:sz w:val="20"/>
                <w:szCs w:val="20"/>
              </w:rPr>
              <w:t>Maciej Stępka, Natasza Styczyńska, Marcin Zubek</w:t>
            </w:r>
          </w:p>
        </w:tc>
        <w:tc>
          <w:tcPr>
            <w:tcW w:w="962" w:type="dxa"/>
          </w:tcPr>
          <w:p w:rsidR="003B301C" w:rsidRPr="00241497" w:rsidRDefault="003B301C" w:rsidP="003B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Cultural Industries and Cultural Institutions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Katarzyna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Jagodzińska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National and Post-National Identity. Civil Society in Europe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</w:rPr>
            </w:pPr>
            <w:r w:rsidRPr="0011241A">
              <w:rPr>
                <w:sz w:val="20"/>
                <w:szCs w:val="20"/>
              </w:rPr>
              <w:t>Zdzisław Mach, Joanna Orzechowska-Wacławska</w:t>
            </w:r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 w:rsidRPr="0011241A">
              <w:rPr>
                <w:i/>
                <w:sz w:val="20"/>
                <w:szCs w:val="20"/>
                <w:lang w:val="en-US"/>
              </w:rPr>
              <w:t xml:space="preserve">European </w:t>
            </w:r>
            <w:proofErr w:type="spellStart"/>
            <w:r w:rsidRPr="0011241A">
              <w:rPr>
                <w:i/>
                <w:sz w:val="20"/>
                <w:szCs w:val="20"/>
                <w:lang w:val="en-US"/>
              </w:rPr>
              <w:t>Civilisation</w:t>
            </w:r>
            <w:proofErr w:type="spellEnd"/>
            <w:r w:rsidRPr="0011241A">
              <w:rPr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11241A">
              <w:rPr>
                <w:i/>
                <w:sz w:val="20"/>
                <w:szCs w:val="20"/>
                <w:lang w:val="en-US"/>
              </w:rPr>
              <w:t>Philisophical</w:t>
            </w:r>
            <w:proofErr w:type="spellEnd"/>
            <w:r w:rsidRPr="0011241A">
              <w:rPr>
                <w:i/>
                <w:sz w:val="20"/>
                <w:szCs w:val="20"/>
                <w:lang w:val="en-US"/>
              </w:rPr>
              <w:t xml:space="preserve"> Perspective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Marcin </w:t>
            </w:r>
            <w:proofErr w:type="spellStart"/>
            <w:r>
              <w:rPr>
                <w:sz w:val="20"/>
                <w:szCs w:val="20"/>
                <w:lang w:val="en-US"/>
              </w:rPr>
              <w:t>Rebes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International Security in the Post-Cold War Europe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Grzegorz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Pożarlik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Contemporary Migration and Asylum in Europe: Policies, Politics and Strategies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Karolina </w:t>
            </w:r>
            <w:proofErr w:type="spellStart"/>
            <w:r>
              <w:rPr>
                <w:sz w:val="20"/>
                <w:szCs w:val="20"/>
                <w:lang w:val="en-US"/>
              </w:rPr>
              <w:t>Czerska</w:t>
            </w:r>
            <w:proofErr w:type="spellEnd"/>
            <w:r>
              <w:rPr>
                <w:sz w:val="20"/>
                <w:szCs w:val="20"/>
                <w:lang w:val="en-US"/>
              </w:rPr>
              <w:t>-Shaw</w:t>
            </w:r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Management of Cultural Projects: From An Idea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Łucja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Piekarska-Duraj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Contemporary European Philosophy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Przemysław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Tacik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Introduction to Foreign Policy and Diplomacy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Marcin </w:t>
            </w:r>
            <w:proofErr w:type="spellStart"/>
            <w:r>
              <w:rPr>
                <w:sz w:val="20"/>
                <w:szCs w:val="20"/>
                <w:lang w:val="en-US"/>
              </w:rPr>
              <w:t>Zubek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History and Theory of European Integration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Maciej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Stępka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Marcin </w:t>
            </w:r>
            <w:proofErr w:type="spellStart"/>
            <w:r>
              <w:rPr>
                <w:sz w:val="20"/>
                <w:szCs w:val="20"/>
                <w:lang w:val="en-US"/>
              </w:rPr>
              <w:t>Zubek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11241A" w:rsidTr="00241497">
        <w:tc>
          <w:tcPr>
            <w:tcW w:w="8080" w:type="dxa"/>
            <w:vAlign w:val="center"/>
          </w:tcPr>
          <w:p w:rsidR="003B301C" w:rsidRPr="0011241A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Trauma, Silence and Denial in Cultural Memory</w:t>
            </w:r>
          </w:p>
        </w:tc>
        <w:tc>
          <w:tcPr>
            <w:tcW w:w="5670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Jolanta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Ambrosewicz</w:t>
            </w:r>
            <w:proofErr w:type="spellEnd"/>
            <w:r>
              <w:rPr>
                <w:sz w:val="20"/>
                <w:szCs w:val="20"/>
                <w:lang w:val="en-US"/>
              </w:rPr>
              <w:t>-Jacobs</w:t>
            </w:r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11241A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3B301C" w:rsidTr="000F434C">
        <w:tc>
          <w:tcPr>
            <w:tcW w:w="16302" w:type="dxa"/>
            <w:gridSpan w:val="5"/>
          </w:tcPr>
          <w:p w:rsidR="003B301C" w:rsidRPr="00DF4B4E" w:rsidRDefault="003B301C" w:rsidP="003B301C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 xml:space="preserve">Elective classes offered by </w:t>
            </w:r>
            <w:r w:rsidRPr="00DF4B4E">
              <w:rPr>
                <w:b/>
                <w:sz w:val="20"/>
                <w:szCs w:val="20"/>
                <w:lang w:val="en-US"/>
              </w:rPr>
              <w:t>the Center for Interdisciplinary Individual Studies in the Humanities and Social Sciences</w:t>
            </w:r>
            <w:r>
              <w:rPr>
                <w:sz w:val="20"/>
                <w:szCs w:val="20"/>
                <w:lang w:val="en-US"/>
              </w:rPr>
              <w:t xml:space="preserve"> in the Summer Semester 2019/2020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Anatomy and Dynamics of Prejudices</w:t>
            </w:r>
          </w:p>
        </w:tc>
        <w:tc>
          <w:tcPr>
            <w:tcW w:w="5670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Jolanta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Ambrosewicz</w:t>
            </w:r>
            <w:proofErr w:type="spellEnd"/>
            <w:r>
              <w:rPr>
                <w:sz w:val="20"/>
                <w:szCs w:val="20"/>
                <w:lang w:val="en-US"/>
              </w:rPr>
              <w:t>-Jacobs</w:t>
            </w:r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Cold War</w:t>
            </w:r>
          </w:p>
        </w:tc>
        <w:tc>
          <w:tcPr>
            <w:tcW w:w="5670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Jakub </w:t>
            </w:r>
            <w:proofErr w:type="spellStart"/>
            <w:r>
              <w:rPr>
                <w:sz w:val="20"/>
                <w:szCs w:val="20"/>
                <w:lang w:val="en-US"/>
              </w:rPr>
              <w:t>Basista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Pr="00DF4B4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Modern Philosophy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Piotr </w:t>
            </w:r>
            <w:proofErr w:type="spellStart"/>
            <w:r>
              <w:rPr>
                <w:sz w:val="20"/>
                <w:szCs w:val="20"/>
                <w:lang w:val="en-US"/>
              </w:rPr>
              <w:t>Mróz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Nationalism and Identity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Marcin </w:t>
            </w:r>
            <w:proofErr w:type="spellStart"/>
            <w:r>
              <w:rPr>
                <w:sz w:val="20"/>
                <w:szCs w:val="20"/>
                <w:lang w:val="en-US"/>
              </w:rPr>
              <w:t>Jarząbek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Poland and the European Union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Magdalena </w:t>
            </w:r>
            <w:proofErr w:type="spellStart"/>
            <w:r>
              <w:rPr>
                <w:sz w:val="20"/>
                <w:szCs w:val="20"/>
                <w:lang w:val="en-US"/>
              </w:rPr>
              <w:t>Góra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Natasza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Styczyńska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Holocaust and Its Cultural Meaning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Annamaria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Orla-</w:t>
            </w:r>
            <w:proofErr w:type="spellStart"/>
            <w:r>
              <w:rPr>
                <w:sz w:val="20"/>
                <w:szCs w:val="20"/>
                <w:lang w:val="en-US"/>
              </w:rPr>
              <w:t>Bukowska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Media Art in Poland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Andrzej </w:t>
            </w:r>
            <w:proofErr w:type="spellStart"/>
            <w:r>
              <w:rPr>
                <w:sz w:val="20"/>
                <w:szCs w:val="20"/>
                <w:lang w:val="en-US"/>
              </w:rPr>
              <w:t>Pitrus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69632E" w:rsidTr="00241497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Poland as a Work of Art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Maciej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Stroiński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3B301C" w:rsidTr="007562A2">
        <w:tc>
          <w:tcPr>
            <w:tcW w:w="16302" w:type="dxa"/>
            <w:gridSpan w:val="5"/>
          </w:tcPr>
          <w:p w:rsidR="003B301C" w:rsidRDefault="003B301C" w:rsidP="003B301C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 xml:space="preserve">Elective classes offered by </w:t>
            </w:r>
            <w:r w:rsidRPr="00DF4B4E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Institute of Intercultural Studies</w:t>
            </w:r>
            <w:r>
              <w:rPr>
                <w:sz w:val="20"/>
                <w:szCs w:val="20"/>
                <w:lang w:val="en-US"/>
              </w:rPr>
              <w:t xml:space="preserve"> in the Summer Semester 2019/2020</w:t>
            </w:r>
          </w:p>
        </w:tc>
      </w:tr>
      <w:tr w:rsidR="003B301C" w:rsidRPr="0069632E" w:rsidTr="0046306E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Culture, Politics and Soft Power</w:t>
            </w:r>
          </w:p>
        </w:tc>
        <w:tc>
          <w:tcPr>
            <w:tcW w:w="5670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Monika </w:t>
            </w:r>
            <w:proofErr w:type="spellStart"/>
            <w:r>
              <w:rPr>
                <w:sz w:val="20"/>
                <w:szCs w:val="20"/>
                <w:lang w:val="en-US"/>
              </w:rPr>
              <w:t>Banaś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OH</w:t>
            </w:r>
          </w:p>
        </w:tc>
        <w:tc>
          <w:tcPr>
            <w:tcW w:w="841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3B301C" w:rsidTr="00C12461">
        <w:tc>
          <w:tcPr>
            <w:tcW w:w="16302" w:type="dxa"/>
            <w:gridSpan w:val="5"/>
          </w:tcPr>
          <w:p w:rsidR="003B301C" w:rsidRDefault="003B301C" w:rsidP="003B301C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 xml:space="preserve">Elective classes offered by </w:t>
            </w:r>
            <w:r w:rsidRPr="00DF4B4E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Institute of Political Science and International Relations</w:t>
            </w:r>
            <w:r>
              <w:rPr>
                <w:sz w:val="20"/>
                <w:szCs w:val="20"/>
                <w:lang w:val="en-US"/>
              </w:rPr>
              <w:t xml:space="preserve"> in the Summer Semester 2019/2020</w:t>
            </w:r>
          </w:p>
        </w:tc>
      </w:tr>
      <w:tr w:rsidR="003B301C" w:rsidRPr="0069632E" w:rsidTr="0015726F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Soft Power and </w:t>
            </w:r>
            <w:r w:rsidR="002E7BC6">
              <w:rPr>
                <w:i/>
                <w:sz w:val="20"/>
                <w:szCs w:val="20"/>
                <w:lang w:val="en-US"/>
              </w:rPr>
              <w:t>Post-Cold</w:t>
            </w:r>
            <w:r>
              <w:rPr>
                <w:i/>
                <w:sz w:val="20"/>
                <w:szCs w:val="20"/>
                <w:lang w:val="en-US"/>
              </w:rPr>
              <w:t xml:space="preserve"> War Paradigm Change</w:t>
            </w:r>
          </w:p>
        </w:tc>
        <w:tc>
          <w:tcPr>
            <w:tcW w:w="5670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Dorota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Pietrzyk</w:t>
            </w:r>
            <w:proofErr w:type="spellEnd"/>
            <w:r>
              <w:rPr>
                <w:sz w:val="20"/>
                <w:szCs w:val="20"/>
                <w:lang w:val="en-US"/>
              </w:rPr>
              <w:t>-Reeves</w:t>
            </w:r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3B301C" w:rsidTr="006C202A">
        <w:tc>
          <w:tcPr>
            <w:tcW w:w="16302" w:type="dxa"/>
            <w:gridSpan w:val="5"/>
          </w:tcPr>
          <w:p w:rsidR="003B301C" w:rsidRDefault="003B301C" w:rsidP="003B301C">
            <w:pPr>
              <w:jc w:val="center"/>
              <w:rPr>
                <w:sz w:val="20"/>
                <w:szCs w:val="20"/>
                <w:lang w:val="en-US"/>
              </w:rPr>
            </w:pPr>
            <w:r w:rsidRPr="00DF4B4E">
              <w:rPr>
                <w:sz w:val="20"/>
                <w:szCs w:val="20"/>
                <w:lang w:val="en-US"/>
              </w:rPr>
              <w:t xml:space="preserve">Elective classes offered by </w:t>
            </w:r>
            <w:r w:rsidRPr="00DF4B4E">
              <w:rPr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sz w:val="20"/>
                <w:szCs w:val="20"/>
                <w:lang w:val="en-US"/>
              </w:rPr>
              <w:t>Institute of the Middle and Far East</w:t>
            </w:r>
            <w:r>
              <w:rPr>
                <w:sz w:val="20"/>
                <w:szCs w:val="20"/>
                <w:lang w:val="en-US"/>
              </w:rPr>
              <w:t xml:space="preserve"> in the Summer Semester 2019/2020</w:t>
            </w:r>
          </w:p>
        </w:tc>
      </w:tr>
      <w:tr w:rsidR="003B301C" w:rsidRPr="0069632E" w:rsidTr="005E2354">
        <w:tc>
          <w:tcPr>
            <w:tcW w:w="8080" w:type="dxa"/>
            <w:vAlign w:val="center"/>
          </w:tcPr>
          <w:p w:rsidR="003B301C" w:rsidRPr="00DF4B4E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International Security Challenges in Asia</w:t>
            </w:r>
          </w:p>
        </w:tc>
        <w:tc>
          <w:tcPr>
            <w:tcW w:w="5670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Agnieszka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Kuszewska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Pr="0069632E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B301C" w:rsidRPr="003B301C" w:rsidTr="005E2354">
        <w:tc>
          <w:tcPr>
            <w:tcW w:w="8080" w:type="dxa"/>
            <w:vAlign w:val="center"/>
          </w:tcPr>
          <w:p w:rsidR="003B301C" w:rsidRDefault="003B301C" w:rsidP="003B301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International Politics of the Middle East after the Arab Spring</w:t>
            </w:r>
          </w:p>
        </w:tc>
        <w:tc>
          <w:tcPr>
            <w:tcW w:w="5670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Riham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Bahi</w:t>
            </w:r>
            <w:proofErr w:type="spellEnd"/>
          </w:p>
        </w:tc>
        <w:tc>
          <w:tcPr>
            <w:tcW w:w="962" w:type="dxa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OSS</w:t>
            </w:r>
          </w:p>
        </w:tc>
        <w:tc>
          <w:tcPr>
            <w:tcW w:w="841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49" w:type="dxa"/>
            <w:vAlign w:val="center"/>
          </w:tcPr>
          <w:p w:rsidR="003B301C" w:rsidRDefault="003B301C" w:rsidP="003B3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3B301C" w:rsidRPr="00F917F7" w:rsidRDefault="003B301C" w:rsidP="003B301C">
      <w:pPr>
        <w:spacing w:after="0"/>
        <w:rPr>
          <w:sz w:val="2"/>
          <w:szCs w:val="20"/>
          <w:lang w:val="en-US"/>
        </w:rPr>
      </w:pPr>
    </w:p>
    <w:p w:rsidR="00FA058E" w:rsidRPr="002E7BC6" w:rsidRDefault="003B301C" w:rsidP="001B2767">
      <w:pPr>
        <w:rPr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>T</w:t>
      </w:r>
      <w:r w:rsidR="00FA058E" w:rsidRPr="002E7BC6">
        <w:rPr>
          <w:sz w:val="20"/>
          <w:szCs w:val="18"/>
          <w:lang w:val="en-US"/>
        </w:rPr>
        <w:t xml:space="preserve">o find a time and a place of the class, please visit </w:t>
      </w:r>
      <w:proofErr w:type="spellStart"/>
      <w:r w:rsidR="00FA058E" w:rsidRPr="002E7BC6">
        <w:rPr>
          <w:sz w:val="20"/>
          <w:szCs w:val="18"/>
          <w:lang w:val="en-US"/>
        </w:rPr>
        <w:t>USOSweb</w:t>
      </w:r>
      <w:proofErr w:type="spellEnd"/>
      <w:r w:rsidR="00FA058E" w:rsidRPr="002E7BC6">
        <w:rPr>
          <w:sz w:val="20"/>
          <w:szCs w:val="18"/>
          <w:lang w:val="en-US"/>
        </w:rPr>
        <w:t xml:space="preserve"> (</w:t>
      </w:r>
      <w:hyperlink r:id="rId5" w:history="1">
        <w:r w:rsidR="00FA058E" w:rsidRPr="002E7BC6">
          <w:rPr>
            <w:rStyle w:val="Hipercze"/>
            <w:sz w:val="20"/>
            <w:szCs w:val="18"/>
            <w:lang w:val="en-US"/>
          </w:rPr>
          <w:t>https://www.usosweb.uj.edu.pl</w:t>
        </w:r>
      </w:hyperlink>
      <w:r w:rsidR="00FA058E" w:rsidRPr="002E7BC6">
        <w:rPr>
          <w:sz w:val="20"/>
          <w:szCs w:val="18"/>
          <w:lang w:val="en-US"/>
        </w:rPr>
        <w:t>), find such an information on a website of the Institute or Center, which is offering the course, or contact a proper administrative officer.</w:t>
      </w:r>
      <w:r w:rsidRPr="002E7BC6">
        <w:rPr>
          <w:sz w:val="20"/>
          <w:szCs w:val="18"/>
          <w:lang w:val="en-US"/>
        </w:rPr>
        <w:t xml:space="preserve"> </w:t>
      </w:r>
      <w:r w:rsidR="002E7BC6" w:rsidRPr="002E7BC6">
        <w:rPr>
          <w:sz w:val="20"/>
          <w:szCs w:val="18"/>
          <w:lang w:val="en-US"/>
        </w:rPr>
        <w:t xml:space="preserve">TAS Office does not register TAS students to those electives. </w:t>
      </w:r>
      <w:r w:rsidR="00FA058E" w:rsidRPr="002E7BC6">
        <w:rPr>
          <w:sz w:val="20"/>
          <w:szCs w:val="18"/>
          <w:lang w:val="en-US"/>
        </w:rPr>
        <w:t>Before deciding on an elective course contact TAS Office in order to confirm the elective module of the class.</w:t>
      </w:r>
    </w:p>
    <w:p w:rsidR="00FA058E" w:rsidRPr="002E7BC6" w:rsidRDefault="00FA058E" w:rsidP="003B301C">
      <w:pPr>
        <w:spacing w:after="0"/>
        <w:rPr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>To register for the class contact directly:</w:t>
      </w:r>
    </w:p>
    <w:p w:rsidR="00FA058E" w:rsidRPr="002E7BC6" w:rsidRDefault="00FA058E" w:rsidP="00FA058E">
      <w:pPr>
        <w:pStyle w:val="Akapitzlist"/>
        <w:numPr>
          <w:ilvl w:val="0"/>
          <w:numId w:val="3"/>
        </w:numPr>
        <w:rPr>
          <w:b/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 xml:space="preserve">Institute of European Studies / Center for European Studies: </w:t>
      </w:r>
      <w:proofErr w:type="spellStart"/>
      <w:r w:rsidRPr="002E7BC6">
        <w:rPr>
          <w:b/>
          <w:sz w:val="20"/>
          <w:szCs w:val="18"/>
          <w:lang w:val="en-US"/>
        </w:rPr>
        <w:t>Elżbieta</w:t>
      </w:r>
      <w:proofErr w:type="spellEnd"/>
      <w:r w:rsidRPr="002E7BC6">
        <w:rPr>
          <w:b/>
          <w:sz w:val="20"/>
          <w:szCs w:val="18"/>
          <w:lang w:val="en-US"/>
        </w:rPr>
        <w:t xml:space="preserve"> </w:t>
      </w:r>
      <w:proofErr w:type="spellStart"/>
      <w:r w:rsidRPr="002E7BC6">
        <w:rPr>
          <w:b/>
          <w:sz w:val="20"/>
          <w:szCs w:val="18"/>
          <w:lang w:val="en-US"/>
        </w:rPr>
        <w:t>Baran</w:t>
      </w:r>
      <w:proofErr w:type="spellEnd"/>
      <w:r w:rsidRPr="002E7BC6">
        <w:rPr>
          <w:b/>
          <w:sz w:val="20"/>
          <w:szCs w:val="18"/>
          <w:lang w:val="en-US"/>
        </w:rPr>
        <w:t xml:space="preserve"> </w:t>
      </w:r>
      <w:hyperlink r:id="rId6" w:history="1">
        <w:r w:rsidRPr="002E7BC6">
          <w:rPr>
            <w:rStyle w:val="Hipercze"/>
            <w:b/>
            <w:sz w:val="20"/>
            <w:szCs w:val="18"/>
            <w:lang w:val="en-US"/>
          </w:rPr>
          <w:t>elzbieta.baran@uj.edu.pl</w:t>
        </w:r>
      </w:hyperlink>
    </w:p>
    <w:p w:rsidR="003B301C" w:rsidRPr="002E7BC6" w:rsidRDefault="003B301C" w:rsidP="003B301C">
      <w:pPr>
        <w:pStyle w:val="Akapitzlist"/>
        <w:numPr>
          <w:ilvl w:val="0"/>
          <w:numId w:val="3"/>
        </w:numPr>
        <w:rPr>
          <w:rStyle w:val="Hipercze"/>
          <w:color w:val="auto"/>
          <w:sz w:val="20"/>
          <w:szCs w:val="18"/>
          <w:u w:val="none"/>
          <w:lang w:val="en-US"/>
        </w:rPr>
      </w:pPr>
      <w:r w:rsidRPr="002E7BC6">
        <w:rPr>
          <w:sz w:val="20"/>
          <w:szCs w:val="18"/>
          <w:lang w:val="en-US"/>
        </w:rPr>
        <w:t>Center</w:t>
      </w:r>
      <w:bookmarkStart w:id="0" w:name="_GoBack"/>
      <w:bookmarkEnd w:id="0"/>
      <w:r w:rsidRPr="002E7BC6">
        <w:rPr>
          <w:sz w:val="20"/>
          <w:szCs w:val="18"/>
          <w:lang w:val="en-US"/>
        </w:rPr>
        <w:t xml:space="preserve"> for Interdisciplinary Individual Studies in the Humanities and Social Sciences: </w:t>
      </w:r>
      <w:r w:rsidRPr="002E7BC6">
        <w:rPr>
          <w:b/>
          <w:sz w:val="20"/>
          <w:szCs w:val="18"/>
          <w:lang w:val="en-US"/>
        </w:rPr>
        <w:t xml:space="preserve">Anna </w:t>
      </w:r>
      <w:proofErr w:type="spellStart"/>
      <w:r w:rsidRPr="002E7BC6">
        <w:rPr>
          <w:b/>
          <w:sz w:val="20"/>
          <w:szCs w:val="18"/>
          <w:lang w:val="en-US"/>
        </w:rPr>
        <w:t>Stadnicka</w:t>
      </w:r>
      <w:proofErr w:type="spellEnd"/>
      <w:r w:rsidRPr="002E7BC6">
        <w:rPr>
          <w:b/>
          <w:sz w:val="20"/>
          <w:szCs w:val="18"/>
          <w:lang w:val="en-US"/>
        </w:rPr>
        <w:t xml:space="preserve"> </w:t>
      </w:r>
      <w:hyperlink r:id="rId7" w:history="1">
        <w:r w:rsidRPr="002E7BC6">
          <w:rPr>
            <w:rStyle w:val="Hipercze"/>
            <w:b/>
            <w:sz w:val="20"/>
            <w:szCs w:val="18"/>
            <w:lang w:val="en-US"/>
          </w:rPr>
          <w:t>anna.stadnicka@uj.edu.pl</w:t>
        </w:r>
      </w:hyperlink>
    </w:p>
    <w:p w:rsidR="003B301C" w:rsidRPr="002E7BC6" w:rsidRDefault="002E7BC6" w:rsidP="003B301C">
      <w:pPr>
        <w:pStyle w:val="Akapitzlist"/>
        <w:numPr>
          <w:ilvl w:val="0"/>
          <w:numId w:val="3"/>
        </w:numPr>
        <w:rPr>
          <w:sz w:val="20"/>
          <w:szCs w:val="18"/>
          <w:lang w:val="en-US"/>
        </w:rPr>
      </w:pPr>
      <w:r w:rsidRPr="002E7BC6">
        <w:rPr>
          <w:sz w:val="20"/>
          <w:szCs w:val="18"/>
          <w:lang w:val="en-US"/>
        </w:rPr>
        <w:t>Other Institutes: contact their main offices in order to be registered.</w:t>
      </w:r>
    </w:p>
    <w:sectPr w:rsidR="003B301C" w:rsidRPr="002E7BC6" w:rsidSect="00F917F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FBD"/>
    <w:multiLevelType w:val="hybridMultilevel"/>
    <w:tmpl w:val="EC24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B3A"/>
    <w:multiLevelType w:val="hybridMultilevel"/>
    <w:tmpl w:val="843A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EFB"/>
    <w:multiLevelType w:val="hybridMultilevel"/>
    <w:tmpl w:val="C104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3A"/>
    <w:rsid w:val="0007267E"/>
    <w:rsid w:val="0011241A"/>
    <w:rsid w:val="001B2767"/>
    <w:rsid w:val="00241497"/>
    <w:rsid w:val="002E7BC6"/>
    <w:rsid w:val="00311626"/>
    <w:rsid w:val="003B301C"/>
    <w:rsid w:val="003B495B"/>
    <w:rsid w:val="003F25D0"/>
    <w:rsid w:val="005A14DF"/>
    <w:rsid w:val="005B3374"/>
    <w:rsid w:val="006953AD"/>
    <w:rsid w:val="0069632E"/>
    <w:rsid w:val="007F0211"/>
    <w:rsid w:val="00925050"/>
    <w:rsid w:val="00A05263"/>
    <w:rsid w:val="00A33257"/>
    <w:rsid w:val="00A75F3A"/>
    <w:rsid w:val="00AF7F00"/>
    <w:rsid w:val="00B828F3"/>
    <w:rsid w:val="00C91929"/>
    <w:rsid w:val="00DF4B4E"/>
    <w:rsid w:val="00E921A5"/>
    <w:rsid w:val="00F917F7"/>
    <w:rsid w:val="00FA058E"/>
    <w:rsid w:val="00F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160A"/>
  <w15:chartTrackingRefBased/>
  <w15:docId w15:val="{E940B38D-4A9D-4B16-81EE-269ACE5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29"/>
    <w:pPr>
      <w:ind w:left="720"/>
      <w:contextualSpacing/>
    </w:pPr>
  </w:style>
  <w:style w:type="table" w:styleId="Tabela-Siatka">
    <w:name w:val="Table Grid"/>
    <w:basedOn w:val="Standardowy"/>
    <w:uiPriority w:val="39"/>
    <w:rsid w:val="005A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05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tadnic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baran@uj.edu.pl" TargetMode="External"/><Relationship Id="rId5" Type="http://schemas.openxmlformats.org/officeDocument/2006/relationships/hyperlink" Target="https://www.usosweb.uj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Smółka</dc:creator>
  <cp:keywords/>
  <dc:description/>
  <cp:lastModifiedBy>Maciek Smółka</cp:lastModifiedBy>
  <cp:revision>16</cp:revision>
  <cp:lastPrinted>2020-01-23T10:53:00Z</cp:lastPrinted>
  <dcterms:created xsi:type="dcterms:W3CDTF">2019-09-15T19:50:00Z</dcterms:created>
  <dcterms:modified xsi:type="dcterms:W3CDTF">2020-01-23T10:54:00Z</dcterms:modified>
</cp:coreProperties>
</file>